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rebuchet MS" w:cs="Trebuchet MS" w:eastAsia="Trebuchet MS" w:hAnsi="Trebuchet MS"/>
          <w:sz w:val="60"/>
          <w:szCs w:val="60"/>
        </w:rPr>
      </w:pPr>
      <w:r w:rsidDel="00000000" w:rsidR="00000000" w:rsidRPr="00000000">
        <w:rPr>
          <w:rFonts w:ascii="Trebuchet MS" w:cs="Trebuchet MS" w:eastAsia="Trebuchet MS" w:hAnsi="Trebuchet MS"/>
          <w:sz w:val="60"/>
          <w:szCs w:val="60"/>
          <w:rtl w:val="0"/>
        </w:rPr>
        <w:t xml:space="preserve">Materials List 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3905250</wp:posOffset>
            </wp:positionH>
            <wp:positionV relativeFrom="paragraph">
              <wp:posOffset>114300</wp:posOffset>
            </wp:positionV>
            <wp:extent cx="1928813" cy="1022719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10227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Instructor:  Jill Stefani Wagner, PSA-MP, IAPS/MC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Class/Workshop:  Capturing the Landscape in 5 Steps</w:t>
      </w:r>
    </w:p>
    <w:p w:rsidR="00000000" w:rsidDel="00000000" w:rsidP="00000000" w:rsidRDefault="00000000" w:rsidRPr="00000000" w14:paraId="00000004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 Day Plein Air Workshop</w:t>
      </w:r>
    </w:p>
    <w:p w:rsidR="00000000" w:rsidDel="00000000" w:rsidP="00000000" w:rsidRDefault="00000000" w:rsidRPr="00000000" w14:paraId="00000005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June 15-16, 2023</w:t>
      </w:r>
    </w:p>
    <w:p w:rsidR="00000000" w:rsidDel="00000000" w:rsidP="00000000" w:rsidRDefault="00000000" w:rsidRPr="00000000" w14:paraId="00000006">
      <w:pPr>
        <w:pageBreakBefore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9:30 am - 4:30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Montserrat" w:cs="Montserrat" w:eastAsia="Montserrat" w:hAnsi="Montserrat"/>
          <w:b w:val="1"/>
          <w:sz w:val="28"/>
          <w:szCs w:val="28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u w:val="single"/>
          <w:rtl w:val="0"/>
        </w:rPr>
        <w:t xml:space="preserve">SUPPLY LIST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Pastels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   </w:t>
        <w:tab/>
        <w:t xml:space="preserve">        </w:t>
        <w:tab/>
      </w:r>
    </w:p>
    <w:p w:rsidR="00000000" w:rsidDel="00000000" w:rsidP="00000000" w:rsidRDefault="00000000" w:rsidRPr="00000000" w14:paraId="0000000A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Bring a variety of pastels, both medium and soft, with a wide range of values in each hue, from very light to very dark.  Please also bring one each of a dark blue and a dark red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hard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pastel. If you need to purchase these, check out Prismacolor NuPastel Assorted Colors set of 12 for about $13 or Cretacolor Pastel Carre Hard Pastels Starter Set of 12 for about $25.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Surfaces –             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UArt Pastel Paper (my fave!) will generously provide each of us with 5 pieces of 9” x 12” beige sanded paper. You can also bring the same quantity of white sanded paper of a different brand.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Support 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             </w:t>
        <w:tab/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GatorBoard or foam core are both lightweight and sturdy mounting boards to tape your paper on  (minimum size of 11” x 14”)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u w:val="single"/>
          <w:rtl w:val="0"/>
        </w:rPr>
        <w:t xml:space="preserve">Neutral-colored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masking or painter’s tape (NOT BLUE!)</w:t>
      </w:r>
    </w:p>
    <w:p w:rsidR="00000000" w:rsidDel="00000000" w:rsidP="00000000" w:rsidRDefault="00000000" w:rsidRPr="00000000" w14:paraId="0000000F">
      <w:pPr>
        <w:ind w:left="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Value Studies –        </w:t>
        <w:tab/>
      </w:r>
    </w:p>
    <w:p w:rsidR="00000000" w:rsidDel="00000000" w:rsidP="00000000" w:rsidRDefault="00000000" w:rsidRPr="00000000" w14:paraId="00000010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Small sketchbook</w:t>
      </w:r>
    </w:p>
    <w:p w:rsidR="00000000" w:rsidDel="00000000" w:rsidP="00000000" w:rsidRDefault="00000000" w:rsidRPr="00000000" w14:paraId="00000011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Vine charcoal stick</w:t>
      </w:r>
    </w:p>
    <w:p w:rsidR="00000000" w:rsidDel="00000000" w:rsidP="00000000" w:rsidRDefault="00000000" w:rsidRPr="00000000" w14:paraId="00000012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Kneaded eraser</w:t>
      </w:r>
    </w:p>
    <w:p w:rsidR="00000000" w:rsidDel="00000000" w:rsidP="00000000" w:rsidRDefault="00000000" w:rsidRPr="00000000" w14:paraId="00000013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 Black and 1 50% Cool Grey Prismacolor Double-Ended Brush Tip Marker or equivalent</w:t>
      </w:r>
    </w:p>
    <w:p w:rsidR="00000000" w:rsidDel="00000000" w:rsidP="00000000" w:rsidRDefault="00000000" w:rsidRPr="00000000" w14:paraId="00000014">
      <w:pPr>
        <w:spacing w:befor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 Underpainting –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  </w:t>
        <w:tab/>
      </w:r>
    </w:p>
    <w:p w:rsidR="00000000" w:rsidDel="00000000" w:rsidP="00000000" w:rsidRDefault="00000000" w:rsidRPr="00000000" w14:paraId="00000015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Small container of isopropyl or denatured alcohol</w:t>
      </w:r>
    </w:p>
    <w:p w:rsidR="00000000" w:rsidDel="00000000" w:rsidP="00000000" w:rsidRDefault="00000000" w:rsidRPr="00000000" w14:paraId="00000016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OLD or cheap flat bristle brush (3/4” or so wide)</w:t>
      </w:r>
    </w:p>
    <w:p w:rsidR="00000000" w:rsidDel="00000000" w:rsidP="00000000" w:rsidRDefault="00000000" w:rsidRPr="00000000" w14:paraId="00000017">
      <w:pPr>
        <w:ind w:left="2160" w:right="-5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0" w:right="-54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right="-54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View finder –           </w:t>
        <w:tab/>
      </w:r>
    </w:p>
    <w:p w:rsidR="00000000" w:rsidDel="00000000" w:rsidP="00000000" w:rsidRDefault="00000000" w:rsidRPr="00000000" w14:paraId="0000001A">
      <w:pPr>
        <w:ind w:left="0" w:right="-5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 good view finder is really important to isolate the scene when painting outdoors.</w:t>
      </w:r>
    </w:p>
    <w:p w:rsidR="00000000" w:rsidDel="00000000" w:rsidP="00000000" w:rsidRDefault="00000000" w:rsidRPr="00000000" w14:paraId="0000001B">
      <w:pPr>
        <w:ind w:left="0" w:right="-5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My favorite is ViewCatcher because it adapts to different paper sizes.</w:t>
      </w:r>
    </w:p>
    <w:p w:rsidR="00000000" w:rsidDel="00000000" w:rsidP="00000000" w:rsidRDefault="00000000" w:rsidRPr="00000000" w14:paraId="0000001C">
      <w:pPr>
        <w:ind w:left="0" w:right="-54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right="-540" w:firstLine="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Easels –                    </w:t>
        <w:tab/>
      </w:r>
    </w:p>
    <w:p w:rsidR="00000000" w:rsidDel="00000000" w:rsidP="00000000" w:rsidRDefault="00000000" w:rsidRPr="00000000" w14:paraId="0000001E">
      <w:pPr>
        <w:ind w:left="0" w:right="-5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Standing easel to paint vertically (NOT horizontally flat on a table).</w:t>
      </w:r>
    </w:p>
    <w:p w:rsidR="00000000" w:rsidDel="00000000" w:rsidP="00000000" w:rsidRDefault="00000000" w:rsidRPr="00000000" w14:paraId="0000001F">
      <w:pPr>
        <w:ind w:left="0" w:right="-54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If at all possible, use a portable, standing easel that allows you to place your box of pastels in front of you, under your pastel paper. It’s helpful to be able to step back from your work.</w:t>
      </w:r>
    </w:p>
    <w:p w:rsidR="00000000" w:rsidDel="00000000" w:rsidP="00000000" w:rsidRDefault="00000000" w:rsidRPr="00000000" w14:paraId="00000020">
      <w:pPr>
        <w:ind w:left="-620" w:right="-540" w:firstLine="640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620" w:right="-540" w:firstLine="64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Miscellaneous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­</w:t>
      </w: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      </w:t>
        <w:tab/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Paper towels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Plastic gloves or other hand protection such as Gloves in a Bottle or Invisible Gloves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Umbrella to shade you and your work. There are some available that attach to easels and some that stand alone.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Plastic trash bag for garbage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Ballast to weigh down your easel if in case of wind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Plastic sheet or mat to stand on in case of rain or heavy dew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Broad-rimmed hat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Close-toed shoes (not sandals or flip flops!)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Sunglasses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Sunscreen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Bug spray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LOTS of WATER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right="-540" w:hanging="360"/>
        <w:rPr>
          <w:rFonts w:ascii="Montserrat" w:cs="Montserrat" w:eastAsia="Montserrat" w:hAnsi="Montserrat"/>
          <w:sz w:val="24"/>
          <w:szCs w:val="24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LUNCH</w:t>
      </w:r>
    </w:p>
    <w:p w:rsidR="00000000" w:rsidDel="00000000" w:rsidP="00000000" w:rsidRDefault="00000000" w:rsidRPr="00000000" w14:paraId="0000002F">
      <w:pPr>
        <w:ind w:left="0" w:firstLine="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Montserrat" w:cs="Montserrat" w:eastAsia="Montserrat" w:hAnsi="Montserrat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(All supplies should be available at</w:t>
      </w:r>
      <w:hyperlink r:id="rId7">
        <w:r w:rsidDel="00000000" w:rsidR="00000000" w:rsidRPr="00000000">
          <w:rPr>
            <w:rFonts w:ascii="Montserrat" w:cs="Montserrat" w:eastAsia="Montserrat" w:hAnsi="Montserrat"/>
            <w:i w:val="1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sz w:val="24"/>
            <w:szCs w:val="24"/>
            <w:u w:val="single"/>
            <w:rtl w:val="0"/>
          </w:rPr>
          <w:t xml:space="preserve">www.dickblick.com</w:t>
        </w:r>
      </w:hyperlink>
      <w:r w:rsidDel="00000000" w:rsidR="00000000" w:rsidRPr="00000000">
        <w:rPr>
          <w:rFonts w:ascii="Montserrat" w:cs="Montserrat" w:eastAsia="Montserrat" w:hAnsi="Montserrat"/>
          <w:i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1">
      <w:pPr>
        <w:ind w:left="1440" w:firstLine="0"/>
        <w:rPr>
          <w:rFonts w:ascii="Montserrat" w:cs="Montserrat" w:eastAsia="Montserrat" w:hAnsi="Montserrat"/>
          <w:b w:val="1"/>
          <w:i w:val="1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0" w:firstLine="0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4"/>
          <w:szCs w:val="24"/>
          <w:rtl w:val="0"/>
        </w:rPr>
        <w:t xml:space="preserve">Let’s have FUN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dickblick.com/" TargetMode="External"/><Relationship Id="rId8" Type="http://schemas.openxmlformats.org/officeDocument/2006/relationships/hyperlink" Target="http://www.dickblick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