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Spring 2018:  Water Elements Plein Air Painting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Lori Feldpausch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Oil Paints:  Rembrandt makes a nice paint so does Gamblin and Winsor Newton just don’t buy Winton.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Titanium White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Cad Yellow pale or light Yellow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Ochre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Cad Red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Alizarin Crimson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Rembrandt Transparent oxide red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Cobalt Blue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Ultramarine Blue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Viridian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Calibri" w:cs="Calibri" w:eastAsia="Calibri" w:hAnsi="Calibri"/>
          <w:i w:val="0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Ivory Black 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Other Items:  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Viva paper towels , Palette Knife, brushes and 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canvas:  I use canvas panels or can use stretched canvas.  We will work small 8x10s or 11x14. 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rtl w:val="0"/>
        </w:rPr>
        <w:t xml:space="preserve">Brushes; You can buy good quality brushes such as Robert Simmons Signet series- filbert sizes 2 to 12 .  I also use Rosemary brushes of various sizes. 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i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ucida Br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Bright" w:cs="Lucida Bright" w:eastAsia="Lucida Bright" w:hAnsi="Lucida Bright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